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otnotes.xml" ContentType="application/vnd.openxmlformats-officedocument.wordprocessingml.footnotes+xml"/>
  <Override PartName="/word/glossary/document.xml" ContentType="application/vnd.openxmlformats-officedocument.wordprocessingml.document.glossary+xml"/>
  <Override PartName="/word/glossary/endnotes.xml" ContentType="application/vnd.openxmlformats-officedocument.wordprocessingml.endnotes+xml"/>
  <Override PartName="/word/glossary/fontTable.xml" ContentType="application/vnd.openxmlformats-officedocument.wordprocessingml.fontTable+xml"/>
  <Override PartName="/word/glossary/footnotes.xml" ContentType="application/vnd.openxmlformats-officedocument.wordprocessingml.footnotes+xml"/>
  <Override PartName="/word/glossary/settings.xml" ContentType="application/vnd.openxmlformats-officedocument.wordprocessingml.settings+xml"/>
  <Override PartName="/word/glossary/styles.xml" ContentType="application/vnd.openxmlformats-officedocument.wordprocessingml.styl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D0CCE0B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pacing w:after="0" w:line="276" w:lineRule="auto"/>
        <w:ind w:left="840" w:firstLine="10642"/>
        <w:rPr>
          <w:rFonts w:ascii="Times New Roman" w:hAnsi="Times New Roman" w:eastAsia="Times New Roman" w:cs="Times New Roman"/>
          <w:color w:val="000000"/>
          <w:sz w:val="24"/>
          <w:szCs w:val="24"/>
          <w:lang w:val="uk-UA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 xml:space="preserve">Додаток </w:t>
      </w:r>
      <w:r>
        <w:rPr>
          <w:rFonts w:ascii="Times New Roman" w:hAnsi="Times New Roman" w:eastAsia="Times New Roman" w:cs="Times New Roman"/>
          <w:color w:val="000000"/>
          <w:sz w:val="24"/>
          <w:szCs w:val="24"/>
          <w:lang w:val="uk-UA"/>
        </w:rPr>
        <w:t>3</w:t>
      </w:r>
    </w:p>
    <w:p w14:paraId="1F496D37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pacing w:after="0" w:line="276" w:lineRule="auto"/>
        <w:ind w:left="840" w:firstLine="10642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 xml:space="preserve">до розпорядження начальника </w:t>
      </w:r>
    </w:p>
    <w:p w14:paraId="5EEF9C23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pacing w:after="0" w:line="276" w:lineRule="auto"/>
        <w:ind w:left="840" w:firstLine="10642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 xml:space="preserve">обласної військової адміністрації </w:t>
      </w:r>
    </w:p>
    <w:p w14:paraId="2945DDA8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pacing w:after="0" w:line="276" w:lineRule="auto"/>
        <w:ind w:left="840" w:firstLine="10642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>від _________ № _________</w:t>
      </w:r>
    </w:p>
    <w:p w14:paraId="785541EE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pacing w:after="0" w:line="276" w:lineRule="auto"/>
        <w:ind w:left="840" w:firstLine="10642"/>
        <w:rPr>
          <w:rFonts w:ascii="Times New Roman" w:hAnsi="Times New Roman" w:eastAsia="Times New Roman" w:cs="Times New Roman"/>
          <w:color w:val="000000"/>
          <w:sz w:val="24"/>
          <w:szCs w:val="24"/>
        </w:rPr>
      </w:pPr>
    </w:p>
    <w:p w14:paraId="79CF47BC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pacing w:after="0" w:line="276" w:lineRule="auto"/>
        <w:ind w:left="840" w:firstLine="10642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>Додаток 2</w:t>
      </w:r>
      <w:r>
        <w:rPr>
          <w:rFonts w:ascii="Times New Roman" w:hAnsi="Times New Roman" w:eastAsia="Times New Roman" w:cs="Times New Roman"/>
          <w:color w:val="000000"/>
          <w:sz w:val="24"/>
          <w:szCs w:val="24"/>
          <w:lang w:val="uk-UA"/>
        </w:rPr>
        <w:t xml:space="preserve">.4 </w:t>
      </w: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>до Програми</w:t>
      </w:r>
    </w:p>
    <w:p w14:paraId="1FFFF64D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pacing w:after="0" w:line="240" w:lineRule="auto"/>
        <w:ind w:hanging="3"/>
        <w:jc w:val="center"/>
        <w:rPr>
          <w:rFonts w:ascii="Times New Roman" w:hAnsi="Times New Roman" w:eastAsia="Times New Roman" w:cs="Times New Roman"/>
          <w:b/>
          <w:bCs/>
          <w:color w:val="000000"/>
          <w:sz w:val="24"/>
          <w:szCs w:val="24"/>
        </w:rPr>
      </w:pPr>
    </w:p>
    <w:p w14:paraId="616F922E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pacing w:after="0" w:line="240" w:lineRule="auto"/>
        <w:ind w:hanging="3"/>
        <w:jc w:val="center"/>
        <w:rPr>
          <w:rFonts w:ascii="Times New Roman" w:hAnsi="Times New Roman"/>
          <w:b/>
          <w:bCs/>
          <w:sz w:val="28"/>
          <w:szCs w:val="28"/>
          <w:lang w:val="uk-UA" w:eastAsia="ru-RU"/>
        </w:rPr>
      </w:pPr>
      <w:r>
        <w:rPr>
          <w:rFonts w:ascii="Times New Roman" w:hAnsi="Times New Roman"/>
          <w:b/>
          <w:bCs/>
          <w:sz w:val="28"/>
          <w:szCs w:val="28"/>
          <w:lang w:eastAsia="ru-RU"/>
        </w:rPr>
        <w:t xml:space="preserve">Перелік завдань, заходів та показників на 2025 рік </w:t>
      </w:r>
    </w:p>
    <w:p w14:paraId="33A3A1FF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pacing w:after="0" w:line="240" w:lineRule="auto"/>
        <w:ind w:hanging="3"/>
        <w:jc w:val="center"/>
        <w:rPr>
          <w:rFonts w:ascii="Times New Roman" w:hAnsi="Times New Roman" w:eastAsia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sz w:val="28"/>
          <w:szCs w:val="28"/>
          <w:lang w:eastAsia="ru-RU"/>
        </w:rPr>
        <w:t>Програми підтримки розвитку Пласту у Львівській області на 2021 – 2025 роки</w:t>
      </w:r>
    </w:p>
    <w:tbl>
      <w:tblPr>
        <w:tblStyle w:val="20"/>
        <w:tblpPr w:leftFromText="180" w:rightFromText="180" w:vertAnchor="text" w:tblpY="834"/>
        <w:tblW w:w="15843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75"/>
        <w:gridCol w:w="3285"/>
        <w:gridCol w:w="2115"/>
        <w:gridCol w:w="2070"/>
        <w:gridCol w:w="2040"/>
        <w:gridCol w:w="1365"/>
        <w:gridCol w:w="1174"/>
        <w:gridCol w:w="1276"/>
        <w:gridCol w:w="1843"/>
      </w:tblGrid>
      <w:tr w14:paraId="14BE793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0" w:hRule="atLeast"/>
        </w:trPr>
        <w:tc>
          <w:tcPr>
            <w:tcW w:w="675" w:type="dxa"/>
            <w:vMerge w:val="restart"/>
          </w:tcPr>
          <w:p w14:paraId="278A77C0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№ з/п</w:t>
            </w:r>
          </w:p>
        </w:tc>
        <w:tc>
          <w:tcPr>
            <w:tcW w:w="3285" w:type="dxa"/>
            <w:vMerge w:val="restart"/>
          </w:tcPr>
          <w:p w14:paraId="0620B880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Назва напряму діяльності (пріоритетні завдання)</w:t>
            </w:r>
          </w:p>
        </w:tc>
        <w:tc>
          <w:tcPr>
            <w:tcW w:w="2115" w:type="dxa"/>
            <w:vMerge w:val="restart"/>
          </w:tcPr>
          <w:p w14:paraId="3052BF5F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Перелік заходів Програми</w:t>
            </w:r>
          </w:p>
        </w:tc>
        <w:tc>
          <w:tcPr>
            <w:tcW w:w="2070" w:type="dxa"/>
            <w:vMerge w:val="restart"/>
          </w:tcPr>
          <w:p w14:paraId="7184742E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Показники виконання заходу, один. виміру</w:t>
            </w:r>
          </w:p>
          <w:p w14:paraId="0169EC4B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color w:val="FF0000"/>
              </w:rPr>
            </w:pPr>
          </w:p>
        </w:tc>
        <w:tc>
          <w:tcPr>
            <w:tcW w:w="2040" w:type="dxa"/>
            <w:vMerge w:val="restart"/>
          </w:tcPr>
          <w:p w14:paraId="579ABC28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Виконавці</w:t>
            </w:r>
          </w:p>
        </w:tc>
        <w:tc>
          <w:tcPr>
            <w:tcW w:w="3815" w:type="dxa"/>
            <w:gridSpan w:val="3"/>
          </w:tcPr>
          <w:p w14:paraId="66312C3D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Фінансування</w:t>
            </w:r>
          </w:p>
        </w:tc>
        <w:tc>
          <w:tcPr>
            <w:tcW w:w="1843" w:type="dxa"/>
            <w:vMerge w:val="restart"/>
          </w:tcPr>
          <w:p w14:paraId="077B0012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Очікуваний результат</w:t>
            </w:r>
          </w:p>
        </w:tc>
      </w:tr>
      <w:tr w14:paraId="2F5774F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0" w:hRule="atLeast"/>
        </w:trPr>
        <w:tc>
          <w:tcPr>
            <w:tcW w:w="675" w:type="dxa"/>
            <w:vMerge w:val="continue"/>
          </w:tcPr>
          <w:p w14:paraId="6A3C5804">
            <w:pPr>
              <w:widowControl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76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85" w:type="dxa"/>
            <w:vMerge w:val="continue"/>
          </w:tcPr>
          <w:p w14:paraId="28097E07">
            <w:pPr>
              <w:widowControl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76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15" w:type="dxa"/>
            <w:vMerge w:val="continue"/>
          </w:tcPr>
          <w:p w14:paraId="0F348D97">
            <w:pPr>
              <w:widowControl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76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070" w:type="dxa"/>
            <w:vMerge w:val="continue"/>
          </w:tcPr>
          <w:p w14:paraId="6E28926D">
            <w:pPr>
              <w:widowControl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</w:rPr>
            </w:pPr>
          </w:p>
        </w:tc>
        <w:tc>
          <w:tcPr>
            <w:tcW w:w="2040" w:type="dxa"/>
            <w:vMerge w:val="continue"/>
          </w:tcPr>
          <w:p w14:paraId="25863EC2">
            <w:pPr>
              <w:widowControl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76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65" w:type="dxa"/>
          </w:tcPr>
          <w:p w14:paraId="2A226654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Джерела</w:t>
            </w:r>
          </w:p>
        </w:tc>
        <w:tc>
          <w:tcPr>
            <w:tcW w:w="1174" w:type="dxa"/>
          </w:tcPr>
          <w:p w14:paraId="04BC73CB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Зміни,</w:t>
            </w:r>
          </w:p>
          <w:p w14:paraId="4CB2ECF7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тис. грн</w:t>
            </w:r>
          </w:p>
        </w:tc>
        <w:tc>
          <w:tcPr>
            <w:tcW w:w="1276" w:type="dxa"/>
          </w:tcPr>
          <w:p w14:paraId="07399EBE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Усього з урахуванням змін, тис. грн</w:t>
            </w:r>
          </w:p>
        </w:tc>
        <w:tc>
          <w:tcPr>
            <w:tcW w:w="1843" w:type="dxa"/>
            <w:vMerge w:val="continue"/>
          </w:tcPr>
          <w:p w14:paraId="488B9ECA">
            <w:pPr>
              <w:widowControl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76" w:lineRule="auto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14:paraId="2E73CD0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vMerge w:val="restart"/>
          </w:tcPr>
          <w:p w14:paraId="492EE971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85" w:type="dxa"/>
            <w:vMerge w:val="restart"/>
            <w:tcBorders>
              <w:right w:val="single" w:color="000000" w:sz="4" w:space="0"/>
            </w:tcBorders>
          </w:tcPr>
          <w:p w14:paraId="27BE795B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Підтримка інституційного розвитку Пласту у Львівській області шляхом діяльності комунального закладу Львівської обласної ради «Львівський обласний Пластовий центр»</w:t>
            </w:r>
          </w:p>
        </w:tc>
        <w:tc>
          <w:tcPr>
            <w:tcW w:w="211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514261B6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Захід 1.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 xml:space="preserve"> Забезпечення утримання комунального закладу Львівської обласної ради «Львівський обласний  Пластовий  центр», як центрального адміністративного осередку, відповідального за створення нових, підтримку та координацію діючих пластових осередків у всіх територіальних громадах Львівської області, їх матеріально-технічне забезпечення.</w:t>
            </w:r>
          </w:p>
        </w:tc>
        <w:tc>
          <w:tcPr>
            <w:tcW w:w="207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7AAB7228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both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Затрат:</w:t>
            </w:r>
          </w:p>
          <w:p w14:paraId="1E477014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right="-40" w:hanging="2"/>
              <w:jc w:val="both"/>
              <w:rPr>
                <w:rFonts w:ascii="Times New Roman" w:hAnsi="Times New Roman" w:eastAsia="Times New Roman" w:cs="Times New Roman"/>
                <w:color w:val="333333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i/>
                <w:color w:val="000000"/>
              </w:rPr>
              <w:t>-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кількість закладів,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1 од.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;</w:t>
            </w:r>
            <w:r>
              <w:rPr>
                <w:rFonts w:ascii="Times New Roman" w:hAnsi="Times New Roman" w:eastAsia="Times New Roman" w:cs="Times New Roman"/>
                <w:color w:val="333333"/>
                <w:highlight w:val="white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кількість штатних працівників,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5 осіб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, з них жінок,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4 особи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.</w:t>
            </w:r>
          </w:p>
          <w:p w14:paraId="35A3795F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both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Продукту:</w:t>
            </w:r>
          </w:p>
          <w:p w14:paraId="5B73FDA3">
            <w:pPr>
              <w:spacing w:after="0" w:line="240" w:lineRule="auto"/>
              <w:ind w:hanging="2"/>
              <w:jc w:val="both"/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кількість молоді, яка відвідує заклади,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4729 осіб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, у тому числі жінок (дівчат),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3610 осіб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;</w:t>
            </w:r>
          </w:p>
          <w:p w14:paraId="0BD6450A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both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Ефективності:</w:t>
            </w:r>
          </w:p>
          <w:p w14:paraId="3623368C">
            <w:pPr>
              <w:spacing w:after="0" w:line="240" w:lineRule="auto"/>
              <w:ind w:hanging="2"/>
              <w:jc w:val="both"/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none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none"/>
              </w:rPr>
              <w:t xml:space="preserve">Середні витрати на 1 працівника, </w:t>
            </w:r>
            <w:r>
              <w:rPr>
                <w:rFonts w:hint="default" w:ascii="Times New Roman" w:hAnsi="Times New Roman" w:eastAsia="Times New Roman" w:cs="Times New Roman"/>
                <w:i/>
                <w:color w:val="333333"/>
                <w:highlight w:val="none"/>
                <w:lang w:val="uk-UA"/>
              </w:rPr>
              <w:t>40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none"/>
              </w:rPr>
              <w:t xml:space="preserve"> </w:t>
            </w:r>
            <w:r>
              <w:rPr>
                <w:rFonts w:hint="default" w:ascii="Times New Roman" w:hAnsi="Times New Roman" w:eastAsia="Times New Roman" w:cs="Times New Roman"/>
                <w:b/>
                <w:i/>
                <w:color w:val="333333"/>
                <w:highlight w:val="none"/>
                <w:lang w:val="uk-UA"/>
              </w:rPr>
              <w:t>568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none"/>
              </w:rPr>
              <w:t xml:space="preserve"> грн;</w:t>
            </w:r>
          </w:p>
          <w:p w14:paraId="7FF06F40">
            <w:pPr>
              <w:spacing w:after="0" w:line="240" w:lineRule="auto"/>
              <w:ind w:hanging="2"/>
              <w:jc w:val="both"/>
              <w:rPr>
                <w:rFonts w:ascii="Times New Roman" w:hAnsi="Times New Roman" w:eastAsia="Times New Roman" w:cs="Times New Roman"/>
                <w:b/>
                <w:i/>
                <w:color w:val="333333"/>
              </w:rPr>
            </w:pPr>
            <w:r>
              <w:rPr>
                <w:rFonts w:ascii="Times New Roman" w:hAnsi="Times New Roman" w:eastAsia="Times New Roman" w:cs="Times New Roman"/>
                <w:b/>
                <w:i/>
                <w:color w:val="333333"/>
              </w:rPr>
              <w:t>середньомісячна</w:t>
            </w:r>
          </w:p>
          <w:p w14:paraId="45E8D4A6">
            <w:pPr>
              <w:spacing w:after="0" w:line="240" w:lineRule="auto"/>
              <w:ind w:hanging="2"/>
              <w:jc w:val="both"/>
              <w:rPr>
                <w:rFonts w:ascii="Times New Roman" w:hAnsi="Times New Roman" w:eastAsia="Times New Roman" w:cs="Times New Roman"/>
                <w:b/>
                <w:i/>
                <w:color w:val="333333"/>
              </w:rPr>
            </w:pPr>
            <w:r>
              <w:rPr>
                <w:rFonts w:ascii="Times New Roman" w:hAnsi="Times New Roman" w:eastAsia="Times New Roman" w:cs="Times New Roman"/>
                <w:b/>
                <w:i/>
                <w:color w:val="333333"/>
              </w:rPr>
              <w:t>заробітна плата</w:t>
            </w:r>
          </w:p>
          <w:p w14:paraId="1032BB73">
            <w:pPr>
              <w:spacing w:after="0" w:line="240" w:lineRule="auto"/>
              <w:ind w:hanging="2"/>
              <w:jc w:val="both"/>
              <w:rPr>
                <w:rFonts w:ascii="Times New Roman" w:hAnsi="Times New Roman" w:eastAsia="Times New Roman" w:cs="Times New Roman"/>
                <w:b/>
                <w:i/>
                <w:color w:val="333333"/>
              </w:rPr>
            </w:pPr>
            <w:r>
              <w:rPr>
                <w:rFonts w:ascii="Times New Roman" w:hAnsi="Times New Roman" w:eastAsia="Times New Roman" w:cs="Times New Roman"/>
                <w:b/>
                <w:i/>
                <w:color w:val="333333"/>
              </w:rPr>
              <w:t xml:space="preserve">працівника, </w:t>
            </w:r>
          </w:p>
          <w:p w14:paraId="054DE7C6">
            <w:pPr>
              <w:spacing w:after="0" w:line="240" w:lineRule="auto"/>
              <w:ind w:hanging="2"/>
              <w:jc w:val="both"/>
              <w:rPr>
                <w:rFonts w:ascii="Times New Roman" w:hAnsi="Times New Roman" w:eastAsia="Times New Roman" w:cs="Times New Roman"/>
                <w:b/>
                <w:i/>
                <w:color w:val="333333"/>
              </w:rPr>
            </w:pPr>
            <w:r>
              <w:rPr>
                <w:rFonts w:ascii="Times New Roman" w:hAnsi="Times New Roman" w:eastAsia="Times New Roman" w:cs="Times New Roman"/>
                <w:b/>
                <w:i/>
                <w:color w:val="333333"/>
              </w:rPr>
              <w:t xml:space="preserve">17 873 грн; </w:t>
            </w:r>
          </w:p>
          <w:p w14:paraId="18C144DD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both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Якості:</w:t>
            </w:r>
          </w:p>
          <w:p w14:paraId="497B9306">
            <w:pPr>
              <w:spacing w:after="0" w:line="240" w:lineRule="auto"/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кількість молоді, охопленої роботою регіонального закладу по роботі з молоддю, від загальної кількості молоді в регіоні, 0,008  %,</w:t>
            </w:r>
          </w:p>
          <w:p w14:paraId="24C4249F">
            <w:pPr>
              <w:spacing w:after="0" w:line="240" w:lineRule="auto"/>
              <w:ind w:hanging="2"/>
              <w:rPr>
                <w:rFonts w:ascii="Times New Roman" w:hAnsi="Times New Roman" w:cs="Times New Roman"/>
                <w:color w:val="333333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з них жінок (дівчат), 0,005 %;</w:t>
            </w:r>
          </w:p>
          <w:p w14:paraId="13BDC0A1">
            <w:pPr>
              <w:spacing w:after="0" w:line="240" w:lineRule="auto"/>
              <w:ind w:hanging="2"/>
              <w:jc w:val="both"/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</w:pPr>
          </w:p>
        </w:tc>
        <w:tc>
          <w:tcPr>
            <w:tcW w:w="2040" w:type="dxa"/>
            <w:vMerge w:val="restart"/>
            <w:tcBorders>
              <w:left w:val="single" w:color="000000" w:sz="4" w:space="0"/>
            </w:tcBorders>
          </w:tcPr>
          <w:p w14:paraId="7193A44C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 xml:space="preserve">Департамент спорту, молоді та туризму обласної державної адміністрації, комунальний заклад Львівської обласної ради «Львівський обласний Пластовий 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Ц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ентр»</w:t>
            </w:r>
          </w:p>
        </w:tc>
        <w:tc>
          <w:tcPr>
            <w:tcW w:w="1365" w:type="dxa"/>
          </w:tcPr>
          <w:p w14:paraId="4812E036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Обласний бюджет</w:t>
            </w:r>
          </w:p>
        </w:tc>
        <w:tc>
          <w:tcPr>
            <w:tcW w:w="1174" w:type="dxa"/>
          </w:tcPr>
          <w:p w14:paraId="173040FA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+619,0</w:t>
            </w:r>
          </w:p>
        </w:tc>
        <w:tc>
          <w:tcPr>
            <w:tcW w:w="1276" w:type="dxa"/>
            <w:vMerge w:val="restart"/>
          </w:tcPr>
          <w:p w14:paraId="313963A1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2 434,10</w:t>
            </w:r>
          </w:p>
        </w:tc>
        <w:tc>
          <w:tcPr>
            <w:tcW w:w="1843" w:type="dxa"/>
            <w:vMerge w:val="restart"/>
          </w:tcPr>
          <w:p w14:paraId="01AFE2CC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Сприятиме виконанню основних завдань програми та  залученню нових членів в організацію.</w:t>
            </w:r>
          </w:p>
          <w:p w14:paraId="539C4E47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Забезпечить сталу підтримку та якісне функціонування, облаштування просторів для занять з молоддю у Львівській області.</w:t>
            </w:r>
          </w:p>
        </w:tc>
      </w:tr>
      <w:tr w14:paraId="57888C0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vMerge w:val="continue"/>
          </w:tcPr>
          <w:p w14:paraId="2B8DE1E9">
            <w:pPr>
              <w:widowControl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76" w:lineRule="auto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  <w:shd w:val="clear" w:color="auto" w:fill="93C47D"/>
              </w:rPr>
            </w:pPr>
          </w:p>
        </w:tc>
        <w:tc>
          <w:tcPr>
            <w:tcW w:w="3285" w:type="dxa"/>
            <w:vMerge w:val="continue"/>
            <w:tcBorders>
              <w:right w:val="single" w:color="000000" w:sz="4" w:space="0"/>
            </w:tcBorders>
          </w:tcPr>
          <w:p w14:paraId="7D2062FC">
            <w:pPr>
              <w:widowControl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76" w:lineRule="auto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  <w:shd w:val="clear" w:color="auto" w:fill="93C47D"/>
              </w:rPr>
            </w:pPr>
          </w:p>
        </w:tc>
        <w:tc>
          <w:tcPr>
            <w:tcW w:w="211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5E82585A">
            <w:pPr>
              <w:widowControl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76" w:lineRule="auto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  <w:shd w:val="clear" w:color="auto" w:fill="93C47D"/>
              </w:rPr>
            </w:pPr>
          </w:p>
        </w:tc>
        <w:tc>
          <w:tcPr>
            <w:tcW w:w="207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498469CF">
            <w:pPr>
              <w:widowControl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rPr>
                <w:rFonts w:ascii="Times New Roman" w:hAnsi="Times New Roman" w:eastAsia="Times New Roman" w:cs="Times New Roman"/>
                <w:b/>
                <w:color w:val="000000"/>
                <w:shd w:val="clear" w:color="auto" w:fill="93C47D"/>
              </w:rPr>
            </w:pPr>
          </w:p>
        </w:tc>
        <w:tc>
          <w:tcPr>
            <w:tcW w:w="2040" w:type="dxa"/>
            <w:vMerge w:val="continue"/>
            <w:tcBorders>
              <w:left w:val="single" w:color="000000" w:sz="4" w:space="0"/>
            </w:tcBorders>
          </w:tcPr>
          <w:p w14:paraId="77DC005D">
            <w:pPr>
              <w:widowControl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76" w:lineRule="auto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  <w:shd w:val="clear" w:color="auto" w:fill="93C47D"/>
              </w:rPr>
            </w:pPr>
          </w:p>
        </w:tc>
        <w:tc>
          <w:tcPr>
            <w:tcW w:w="1365" w:type="dxa"/>
          </w:tcPr>
          <w:p w14:paraId="4E06EBA4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74" w:type="dxa"/>
          </w:tcPr>
          <w:p w14:paraId="7A8AD628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vMerge w:val="continue"/>
          </w:tcPr>
          <w:p w14:paraId="3B46A5BB">
            <w:pPr>
              <w:widowControl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76" w:lineRule="auto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843" w:type="dxa"/>
            <w:vMerge w:val="continue"/>
          </w:tcPr>
          <w:p w14:paraId="2050D1AD">
            <w:pPr>
              <w:widowControl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76" w:lineRule="auto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14:paraId="5A6406A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vMerge w:val="restart"/>
          </w:tcPr>
          <w:p w14:paraId="2C719D06">
            <w:pP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2</w:t>
            </w:r>
          </w:p>
        </w:tc>
        <w:tc>
          <w:tcPr>
            <w:tcW w:w="3285" w:type="dxa"/>
            <w:vMerge w:val="restart"/>
          </w:tcPr>
          <w:p w14:paraId="1DA1C1E7">
            <w:pP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  <w:t>Організація, координація і підтримка проведення літніх та зимових пластових таборів, а також «Свят Весни»</w:t>
            </w:r>
          </w:p>
        </w:tc>
        <w:tc>
          <w:tcPr>
            <w:tcW w:w="2115" w:type="dxa"/>
            <w:tcBorders>
              <w:top w:val="single" w:color="000000" w:sz="4" w:space="0"/>
            </w:tcBorders>
          </w:tcPr>
          <w:p w14:paraId="619882C6">
            <w:pP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  <w:t>Захід 3.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 xml:space="preserve"> Проведення загальнообласних, районних, міжрайонних пластових зборів, різноформатних таборів, походів, мандрівок для студентської і трудової молоді та дорослих волонтерів, спрямованих на розвиток інтелектуальних, творчих навичок та забезпечення мобільності молоді і розвитку Пластового руху в області</w:t>
            </w:r>
          </w:p>
        </w:tc>
        <w:tc>
          <w:tcPr>
            <w:tcW w:w="2070" w:type="dxa"/>
            <w:tcBorders>
              <w:top w:val="single" w:color="000000" w:sz="4" w:space="0"/>
            </w:tcBorders>
          </w:tcPr>
          <w:p w14:paraId="32DDC730">
            <w:pPr>
              <w:spacing w:after="0" w:line="240" w:lineRule="auto"/>
              <w:rPr>
                <w:rFonts w:ascii="Times New Roman" w:hAnsi="Times New Roman" w:eastAsia="Times New Roman" w:cs="Times New Roman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Затрат:</w:t>
            </w:r>
          </w:p>
          <w:p w14:paraId="012F4D70">
            <w:pPr>
              <w:spacing w:after="0" w:line="240" w:lineRule="auto"/>
              <w:rPr>
                <w:rFonts w:ascii="Times New Roman" w:hAnsi="Times New Roman" w:eastAsia="Times New Roman" w:cs="Times New Roman"/>
              </w:rPr>
            </w:pPr>
            <w:r>
              <w:rPr>
                <w:rFonts w:ascii="Times New Roman" w:hAnsi="Times New Roman" w:eastAsia="Times New Roman" w:cs="Times New Roman"/>
                <w:i/>
              </w:rPr>
              <w:t>обсяг фін.</w:t>
            </w:r>
            <w:r>
              <w:rPr>
                <w:rFonts w:ascii="Times New Roman" w:hAnsi="Times New Roman" w:eastAsia="Times New Roman" w:cs="Times New Roman"/>
                <w:i/>
                <w:lang w:val="uk-UA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i/>
              </w:rPr>
              <w:t xml:space="preserve">ресурсу </w:t>
            </w:r>
            <w:r>
              <w:rPr>
                <w:rFonts w:ascii="Times New Roman" w:hAnsi="Times New Roman" w:eastAsia="Times New Roman" w:cs="Times New Roman"/>
                <w:i/>
                <w:lang w:val="uk-UA"/>
              </w:rPr>
              <w:t>200</w:t>
            </w:r>
            <w:r>
              <w:rPr>
                <w:rFonts w:ascii="Times New Roman" w:hAnsi="Times New Roman" w:eastAsia="Times New Roman" w:cs="Times New Roman"/>
                <w:i/>
              </w:rPr>
              <w:t xml:space="preserve"> </w:t>
            </w:r>
            <w:r>
              <w:rPr>
                <w:rFonts w:hint="default" w:ascii="Times New Roman" w:hAnsi="Times New Roman" w:eastAsia="Times New Roman" w:cs="Times New Roman"/>
                <w:i/>
                <w:lang w:val="uk-UA"/>
              </w:rPr>
              <w:t>000</w:t>
            </w:r>
            <w:bookmarkStart w:id="2" w:name="_GoBack"/>
            <w:bookmarkEnd w:id="2"/>
            <w:r>
              <w:rPr>
                <w:rFonts w:ascii="Times New Roman" w:hAnsi="Times New Roman" w:eastAsia="Times New Roman" w:cs="Times New Roman"/>
                <w:i/>
              </w:rPr>
              <w:t xml:space="preserve"> грн.</w:t>
            </w:r>
          </w:p>
          <w:p w14:paraId="0EBA82BB">
            <w:pPr>
              <w:spacing w:after="0" w:line="240" w:lineRule="auto"/>
              <w:rPr>
                <w:rFonts w:ascii="Times New Roman" w:hAnsi="Times New Roman" w:eastAsia="Times New Roman" w:cs="Times New Roman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Продукту:</w:t>
            </w:r>
          </w:p>
          <w:p w14:paraId="2435E686">
            <w:pPr>
              <w:spacing w:after="0" w:line="240" w:lineRule="auto"/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Кількість заходів, проведених регіональними закладами по роботі з молоддю, 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  <w:lang w:val="uk-UA"/>
              </w:rPr>
              <w:t>4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 од.;</w:t>
            </w:r>
          </w:p>
          <w:p w14:paraId="42D97690">
            <w:pPr>
              <w:spacing w:after="0" w:line="240" w:lineRule="auto"/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кількість молоді, яка візьме участь у заходах регіональних закладів по роботі з молоддю, 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  <w:lang w:val="uk-UA"/>
              </w:rPr>
              <w:t>700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 осіб,</w:t>
            </w:r>
          </w:p>
          <w:p w14:paraId="2BA64645">
            <w:pPr>
              <w:spacing w:after="0" w:line="240" w:lineRule="auto"/>
              <w:rPr>
                <w:rFonts w:ascii="Times New Roman" w:hAnsi="Times New Roman" w:eastAsia="Times New Roman" w:cs="Times New Roman"/>
                <w:i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у тому числі жінок (дівчат), 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  <w:lang w:val="uk-UA"/>
              </w:rPr>
              <w:t>40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0 ос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lang w:val="uk-UA"/>
              </w:rPr>
              <w:t>іб</w:t>
            </w:r>
            <w:r>
              <w:rPr>
                <w:rFonts w:ascii="Times New Roman" w:hAnsi="Times New Roman" w:eastAsia="Times New Roman" w:cs="Times New Roman"/>
                <w:i/>
              </w:rPr>
              <w:t>.</w:t>
            </w:r>
          </w:p>
          <w:p w14:paraId="24E2A008">
            <w:pPr>
              <w:spacing w:after="0" w:line="240" w:lineRule="auto"/>
              <w:rPr>
                <w:rFonts w:ascii="Times New Roman" w:hAnsi="Times New Roman" w:eastAsia="Times New Roman" w:cs="Times New Roman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Ефективності:</w:t>
            </w:r>
          </w:p>
          <w:p w14:paraId="25221A04">
            <w:pPr>
              <w:spacing w:after="0" w:line="240" w:lineRule="auto"/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середні витрати на проведення одного регіонального заходу закладом по роботі з молоддю, 50000 грн;</w:t>
            </w:r>
          </w:p>
          <w:p w14:paraId="284CCD64">
            <w:pPr>
              <w:spacing w:after="0" w:line="240" w:lineRule="auto"/>
              <w:rPr>
                <w:rFonts w:ascii="Times New Roman" w:hAnsi="Times New Roman" w:eastAsia="Times New Roman" w:cs="Times New Roman"/>
                <w:i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середні витрати на забезпечення участі одного учасника в заходах, що проводяться закладами по роботі з молоддю, 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  <w:lang w:val="uk-UA"/>
              </w:rPr>
              <w:t>285,71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 грн.</w:t>
            </w:r>
          </w:p>
          <w:p w14:paraId="2570492D">
            <w:pPr>
              <w:spacing w:after="0" w:line="240" w:lineRule="auto"/>
              <w:rPr>
                <w:rFonts w:ascii="Times New Roman" w:hAnsi="Times New Roman" w:eastAsia="Times New Roman" w:cs="Times New Roman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Якості:</w:t>
            </w:r>
          </w:p>
          <w:p w14:paraId="5FB400A3">
            <w:pPr>
              <w:spacing w:after="0" w:line="240" w:lineRule="auto"/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кількість молоді, охопленої роботою регіонального закладу по роботі з молоддю, від загальної кількості молоді в регіоні, 0,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  <w:lang w:val="uk-UA"/>
              </w:rPr>
              <w:t>10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  %,</w:t>
            </w:r>
          </w:p>
          <w:p w14:paraId="17895D63">
            <w:pPr>
              <w:spacing w:after="0" w:line="240" w:lineRule="auto"/>
              <w:ind w:hanging="2"/>
              <w:rPr>
                <w:rFonts w:ascii="Times New Roman" w:hAnsi="Times New Roman" w:cs="Times New Roman"/>
                <w:color w:val="333333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з них жінок (дівчат), 0,0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  <w:lang w:val="uk-UA"/>
              </w:rPr>
              <w:t>7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 %;</w:t>
            </w:r>
          </w:p>
        </w:tc>
        <w:tc>
          <w:tcPr>
            <w:tcW w:w="2040" w:type="dxa"/>
          </w:tcPr>
          <w:p w14:paraId="0BD04F39">
            <w:pP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Департамент спорту, молоді та туризму обласної державної адміністрації, комунальний заклад Львівської обласної ради «Львівський обласний Пластовий Центр»</w:t>
            </w:r>
          </w:p>
        </w:tc>
        <w:tc>
          <w:tcPr>
            <w:tcW w:w="1365" w:type="dxa"/>
          </w:tcPr>
          <w:p w14:paraId="517BF048">
            <w:pP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Обласний бюджет</w:t>
            </w:r>
          </w:p>
        </w:tc>
        <w:tc>
          <w:tcPr>
            <w:tcW w:w="1174" w:type="dxa"/>
          </w:tcPr>
          <w:p w14:paraId="1ABDEB4D">
            <w:pP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val="uk-UA"/>
              </w:rPr>
              <w:t>0,0</w:t>
            </w:r>
          </w:p>
        </w:tc>
        <w:tc>
          <w:tcPr>
            <w:tcW w:w="1276" w:type="dxa"/>
          </w:tcPr>
          <w:p w14:paraId="02F8A718">
            <w:pP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200,0</w:t>
            </w:r>
          </w:p>
        </w:tc>
        <w:tc>
          <w:tcPr>
            <w:tcW w:w="1843" w:type="dxa"/>
          </w:tcPr>
          <w:p w14:paraId="265985B0">
            <w:pP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val="uk-UA"/>
              </w:rPr>
              <w:t>Буде з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абезпечено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  <w:lang w:val="uk-UA"/>
              </w:rPr>
              <w:t>: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 xml:space="preserve"> </w:t>
            </w:r>
          </w:p>
          <w:p w14:paraId="390769B7">
            <w:pP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val="uk-UA"/>
              </w:rPr>
              <w:t xml:space="preserve">- 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активну участь молоді та дорослих волонтерів у заходах Пласту;</w:t>
            </w:r>
          </w:p>
          <w:p w14:paraId="5C271AAB">
            <w:pP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val="uk-UA"/>
              </w:rPr>
              <w:t>-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 xml:space="preserve"> підвищен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  <w:lang w:val="uk-UA"/>
              </w:rPr>
              <w:t>ня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 xml:space="preserve"> рів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  <w:lang w:val="uk-UA"/>
              </w:rPr>
              <w:t>ня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 xml:space="preserve"> громадянської свідомості, лідерських і командних навичок учасників;</w:t>
            </w:r>
          </w:p>
          <w:p w14:paraId="51AE10BB">
            <w:pP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val="uk-UA"/>
              </w:rPr>
              <w:t>-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 xml:space="preserve"> зміцнено мережу пластових осередків у громадах області; </w:t>
            </w:r>
          </w:p>
          <w:p w14:paraId="2B447A03">
            <w:pP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val="uk-UA"/>
              </w:rPr>
              <w:t xml:space="preserve">- 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 xml:space="preserve">створено умови для сталого розвитку Пластового руху на Львівщині; </w:t>
            </w:r>
          </w:p>
          <w:p w14:paraId="03B9F3AB">
            <w:pP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val="uk-UA"/>
              </w:rPr>
              <w:t xml:space="preserve">- 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 xml:space="preserve">розширено коло залученої молоді до патріотичного виховання через участь у таборах, мандрівках та освітньо-виховних заходах; </w:t>
            </w:r>
          </w:p>
          <w:p w14:paraId="182EE716">
            <w:pP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sz w:val="24"/>
                <w:szCs w:val="24"/>
                <w:shd w:val="clear" w:color="auto" w:fill="93C47D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val="uk-UA"/>
              </w:rPr>
              <w:t xml:space="preserve">- 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сприян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  <w:lang w:val="uk-UA"/>
              </w:rPr>
              <w:t>ня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 xml:space="preserve"> формуванню активної, відповідальної та мобільної молоді, готової до служіння громаді та державі.</w:t>
            </w:r>
          </w:p>
        </w:tc>
      </w:tr>
      <w:tr w14:paraId="6958B65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vMerge w:val="continue"/>
          </w:tcPr>
          <w:p w14:paraId="4A5FB5A4">
            <w:pPr>
              <w:widowControl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76" w:lineRule="auto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  <w:shd w:val="clear" w:color="auto" w:fill="93C47D"/>
              </w:rPr>
            </w:pPr>
          </w:p>
        </w:tc>
        <w:tc>
          <w:tcPr>
            <w:tcW w:w="3285" w:type="dxa"/>
            <w:vMerge w:val="continue"/>
          </w:tcPr>
          <w:p w14:paraId="54C83C47">
            <w:pPr>
              <w:widowControl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76" w:lineRule="auto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  <w:shd w:val="clear" w:color="auto" w:fill="93C47D"/>
              </w:rPr>
            </w:pPr>
          </w:p>
        </w:tc>
        <w:tc>
          <w:tcPr>
            <w:tcW w:w="2115" w:type="dxa"/>
          </w:tcPr>
          <w:p w14:paraId="20BD589F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Захід 4.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 xml:space="preserve"> Проведення  обласного табору за пластовою (скаутською) методикою для молоді та дорослих волонтерів Львівщини</w:t>
            </w:r>
          </w:p>
        </w:tc>
        <w:tc>
          <w:tcPr>
            <w:tcW w:w="2070" w:type="dxa"/>
          </w:tcPr>
          <w:p w14:paraId="1AFD83A9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Затрат:</w:t>
            </w:r>
          </w:p>
          <w:p w14:paraId="0AB0B135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b/>
                <w:i/>
              </w:rPr>
            </w:pPr>
            <w:r>
              <w:rPr>
                <w:rFonts w:ascii="Times New Roman" w:hAnsi="Times New Roman" w:eastAsia="Times New Roman" w:cs="Times New Roman"/>
                <w:i/>
              </w:rPr>
              <w:t xml:space="preserve">обсяг фін. ресурсу </w:t>
            </w:r>
            <w:r>
              <w:rPr>
                <w:rFonts w:ascii="Times New Roman" w:hAnsi="Times New Roman" w:eastAsia="Times New Roman" w:cs="Times New Roman"/>
                <w:b/>
                <w:i/>
              </w:rPr>
              <w:t>360 000 грн.</w:t>
            </w:r>
          </w:p>
          <w:p w14:paraId="378AE451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Продукту:</w:t>
            </w:r>
          </w:p>
          <w:p w14:paraId="6665DBC1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Кількість заходів,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3 од.;</w:t>
            </w:r>
          </w:p>
          <w:p w14:paraId="6CAC5D44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кількість молоді, яка візьме участь у заході, 492 ос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  <w:lang w:val="uk-UA"/>
              </w:rPr>
              <w:t>оби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,</w:t>
            </w:r>
          </w:p>
          <w:p w14:paraId="2B82F7F5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i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у тому числі жінок (дівчат),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315 осіб</w:t>
            </w:r>
            <w:r>
              <w:rPr>
                <w:rFonts w:ascii="Times New Roman" w:hAnsi="Times New Roman" w:eastAsia="Times New Roman" w:cs="Times New Roman"/>
                <w:b/>
                <w:i/>
              </w:rPr>
              <w:t>.</w:t>
            </w:r>
          </w:p>
          <w:p w14:paraId="5A6F4E64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Ефективності:</w:t>
            </w:r>
          </w:p>
          <w:p w14:paraId="7B1F2ABD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середні витрати на проведення заходу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120 000 грн;</w:t>
            </w:r>
          </w:p>
          <w:p w14:paraId="75B7A1BF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i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середні витрати на забезпечення участі одного учасника в заході,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732 грн.</w:t>
            </w:r>
          </w:p>
          <w:p w14:paraId="20C51DCA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Якості:</w:t>
            </w:r>
          </w:p>
          <w:p w14:paraId="45149C88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Збільшення молоді, охопленої роботою, від загальної кількості молоді в регіоні,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0,08  %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,</w:t>
            </w:r>
          </w:p>
          <w:p w14:paraId="42C5F88E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b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з них жінок (дівчат),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0,05 %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;</w:t>
            </w:r>
          </w:p>
        </w:tc>
        <w:tc>
          <w:tcPr>
            <w:tcW w:w="2040" w:type="dxa"/>
          </w:tcPr>
          <w:p w14:paraId="3FDD2FAF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 xml:space="preserve">Департамент спорту, молоді та туризму обласної державної адміністрації, комунальний заклад Львівської обласної ради «Львівський обласний Пластовий 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Ц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ентр»</w:t>
            </w:r>
          </w:p>
        </w:tc>
        <w:tc>
          <w:tcPr>
            <w:tcW w:w="1365" w:type="dxa"/>
          </w:tcPr>
          <w:p w14:paraId="237B2D15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Обласний бюджет</w:t>
            </w:r>
          </w:p>
        </w:tc>
        <w:tc>
          <w:tcPr>
            <w:tcW w:w="1174" w:type="dxa"/>
          </w:tcPr>
          <w:p w14:paraId="477D56AB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+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310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,0</w:t>
            </w:r>
          </w:p>
        </w:tc>
        <w:tc>
          <w:tcPr>
            <w:tcW w:w="1276" w:type="dxa"/>
          </w:tcPr>
          <w:p w14:paraId="2E72C85F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36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0,0</w:t>
            </w:r>
          </w:p>
        </w:tc>
        <w:tc>
          <w:tcPr>
            <w:tcW w:w="1843" w:type="dxa"/>
          </w:tcPr>
          <w:p w14:paraId="582D9FCF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uk-UA"/>
              </w:rPr>
              <w:t>У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часники здобу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uk-UA"/>
              </w:rPr>
              <w:t>дуть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 xml:space="preserve"> практичні навички самовиховання, лідерства, командної роботи, самоорганізації та виживання в природних умовах;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uk-UA"/>
              </w:rPr>
              <w:t xml:space="preserve">Буде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 xml:space="preserve">посилено національно-патріотичне виховання та громадянську свідомість молоді;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uk-UA"/>
              </w:rPr>
              <w:t xml:space="preserve">Буде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 xml:space="preserve">зміцнено співпрацю між пластовими осередками області;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uk-UA"/>
              </w:rPr>
              <w:t xml:space="preserve">Буде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 xml:space="preserve">створено середовище для обміну досвідом і розвитку волонтерського руху;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uk-UA"/>
              </w:rPr>
              <w:t xml:space="preserve">Буде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підвищено рівень мотивації учасників до активної громадської діяльності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uk-UA"/>
              </w:rPr>
              <w:t>.</w:t>
            </w:r>
          </w:p>
        </w:tc>
      </w:tr>
      <w:tr w14:paraId="239C533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</w:tcPr>
          <w:p w14:paraId="0B582843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285" w:type="dxa"/>
          </w:tcPr>
          <w:p w14:paraId="500D4118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Підтримка програми підготовки пластових виховників, зокрема: навчання, методична підтримка осередків та волонтерів Пласту у Львівській області</w:t>
            </w:r>
          </w:p>
        </w:tc>
        <w:tc>
          <w:tcPr>
            <w:tcW w:w="2115" w:type="dxa"/>
          </w:tcPr>
          <w:p w14:paraId="27871CBF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Захід 1.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Проведення освітніх тренінгів, вишколів, дошколів, семінарів (КВДЧ, РОВ, КВВ та ін.) у т.ч. в онлайн форматі, для виховників, адміністраторів, іншмх представників Пластвого руху Львівщини</w:t>
            </w:r>
          </w:p>
        </w:tc>
        <w:tc>
          <w:tcPr>
            <w:tcW w:w="2070" w:type="dxa"/>
          </w:tcPr>
          <w:p w14:paraId="05669BDD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Затрат:</w:t>
            </w:r>
          </w:p>
          <w:p w14:paraId="4C7623E8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b/>
                <w:i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i/>
              </w:rPr>
              <w:t>обсяг фін. ресурсу – 3</w:t>
            </w:r>
            <w:r>
              <w:rPr>
                <w:rFonts w:ascii="Times New Roman" w:hAnsi="Times New Roman" w:eastAsia="Times New Roman" w:cs="Times New Roman"/>
                <w:b/>
                <w:i/>
              </w:rPr>
              <w:t>3</w:t>
            </w:r>
            <w:r>
              <w:rPr>
                <w:rFonts w:ascii="Times New Roman" w:hAnsi="Times New Roman" w:eastAsia="Times New Roman" w:cs="Times New Roman"/>
                <w:b/>
                <w:i/>
                <w:color w:val="000000"/>
              </w:rPr>
              <w:t>0 000 грн.</w:t>
            </w:r>
          </w:p>
          <w:p w14:paraId="6B4C6514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Продукту:</w:t>
            </w:r>
          </w:p>
          <w:p w14:paraId="6CCE9C62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Кількість заходів,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6 од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.; кількість молоді, яка візьме участь у заході, </w:t>
            </w:r>
            <w:r>
              <w:rPr>
                <w:rFonts w:ascii="Times New Roman" w:hAnsi="Times New Roman" w:eastAsia="Times New Roman" w:cs="Times New Roman"/>
                <w:b/>
                <w:i/>
                <w:highlight w:val="white"/>
              </w:rPr>
              <w:t xml:space="preserve">160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осіб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,</w:t>
            </w:r>
          </w:p>
          <w:p w14:paraId="4D526000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i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у тому числі жінок (дівчат),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102 ос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  <w:lang w:val="uk-UA"/>
              </w:rPr>
              <w:t>оби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.</w:t>
            </w:r>
          </w:p>
          <w:p w14:paraId="6C39B857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Ефективності:</w:t>
            </w:r>
          </w:p>
          <w:p w14:paraId="7D61C15C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середні витрати на проведення одного заходу,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55000 грн;</w:t>
            </w:r>
          </w:p>
          <w:p w14:paraId="2A43EC05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i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середні витрати на забезпечення участі одного учасника в заході, </w:t>
            </w:r>
            <w:r>
              <w:rPr>
                <w:rFonts w:ascii="Times New Roman" w:hAnsi="Times New Roman" w:eastAsia="Times New Roman" w:cs="Times New Roman"/>
                <w:b/>
                <w:i/>
                <w:highlight w:val="white"/>
              </w:rPr>
              <w:t>206</w:t>
            </w:r>
            <w:r>
              <w:rPr>
                <w:rFonts w:ascii="Times New Roman" w:hAnsi="Times New Roman" w:eastAsia="Times New Roman" w:cs="Times New Roman"/>
                <w:b/>
                <w:i/>
                <w:highlight w:val="white"/>
                <w:lang w:val="uk-UA"/>
              </w:rPr>
              <w:t>2,5</w:t>
            </w:r>
            <w:r>
              <w:rPr>
                <w:rFonts w:ascii="Times New Roman" w:hAnsi="Times New Roman" w:eastAsia="Times New Roman" w:cs="Times New Roman"/>
                <w:b/>
                <w:i/>
                <w:highlight w:val="white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грн.</w:t>
            </w:r>
          </w:p>
          <w:p w14:paraId="0AC25090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Якості:</w:t>
            </w:r>
          </w:p>
          <w:p w14:paraId="5B99687F">
            <w:pPr>
              <w:spacing w:after="0" w:line="240" w:lineRule="auto"/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кількість молоді, охопленої роботою регіонального закладу по роботі з молоддю, від загальної кількості молоді в регіоні, 0,03 %,</w:t>
            </w:r>
          </w:p>
          <w:p w14:paraId="1FB99FC4">
            <w:pPr>
              <w:spacing w:after="0" w:line="240" w:lineRule="auto"/>
              <w:rPr>
                <w:rFonts w:ascii="Times New Roman" w:hAnsi="Times New Roman" w:eastAsia="Times New Roman" w:cs="Times New Roman"/>
                <w:color w:val="FF0000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з них жінок (дівчат), 0,02 %;</w:t>
            </w:r>
          </w:p>
        </w:tc>
        <w:tc>
          <w:tcPr>
            <w:tcW w:w="2040" w:type="dxa"/>
          </w:tcPr>
          <w:p w14:paraId="2F32DBF9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 xml:space="preserve">Департамент спорту, молоді та туризму обласної державної адміністрації, комунальний заклад Львівської обласної ради «Львівський обласний Пластовий 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Ц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ентр»</w:t>
            </w:r>
          </w:p>
        </w:tc>
        <w:tc>
          <w:tcPr>
            <w:tcW w:w="1365" w:type="dxa"/>
          </w:tcPr>
          <w:p w14:paraId="4D2DBB05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Обласний бюджет</w:t>
            </w:r>
          </w:p>
        </w:tc>
        <w:tc>
          <w:tcPr>
            <w:tcW w:w="1174" w:type="dxa"/>
          </w:tcPr>
          <w:p w14:paraId="6E6C874E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+300,0</w:t>
            </w:r>
          </w:p>
        </w:tc>
        <w:tc>
          <w:tcPr>
            <w:tcW w:w="1276" w:type="dxa"/>
          </w:tcPr>
          <w:p w14:paraId="548FA908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330,0</w:t>
            </w:r>
          </w:p>
        </w:tc>
        <w:tc>
          <w:tcPr>
            <w:tcW w:w="1843" w:type="dxa"/>
          </w:tcPr>
          <w:p w14:paraId="26546EC0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Навчання допоможуть створити нові команди осередків та підтримати діючі, напрацювати стратегії розвитку для  осередків, нові протоколи для залучення волонтерів.</w:t>
            </w:r>
          </w:p>
          <w:p w14:paraId="1029833C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  <w:shd w:val="clear" w:color="auto" w:fill="93C47D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Вишколи допоможуть поширити пластову методу та доєднати нових виховників та волонтерів та створити нові гуртки.</w:t>
            </w:r>
          </w:p>
        </w:tc>
      </w:tr>
      <w:tr w14:paraId="5379E22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</w:tcPr>
          <w:p w14:paraId="3F312438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285" w:type="dxa"/>
          </w:tcPr>
          <w:p w14:paraId="5B475DDF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Розроблення та реалізація проєктів, спрямованих на залучення пластових виховників та дітей, що є учасниками пластового руху, до участі у житті суспільства на міжнародному, всеукраїнському, регіональному та місцевому рівнях</w:t>
            </w:r>
          </w:p>
        </w:tc>
        <w:tc>
          <w:tcPr>
            <w:tcW w:w="2115" w:type="dxa"/>
          </w:tcPr>
          <w:p w14:paraId="5BE9129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b/>
                <w:sz w:val="26"/>
                <w:szCs w:val="26"/>
              </w:rPr>
              <w:t>Захід 1.</w:t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  <w:t xml:space="preserve"> Проведення загальнообласних заходів, пластових зборів, конференцій, форумів, еколого-просвітницьких, патріотичних та українських традиційних свят, презентацій та інших різноформатних заходів з метою обміну досвідом, активізації роботи з учнівською та студентською молоддю, розвитку Пластового руху в області</w:t>
            </w:r>
          </w:p>
          <w:p w14:paraId="177A4DB9"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</w:p>
        </w:tc>
        <w:tc>
          <w:tcPr>
            <w:tcW w:w="2070" w:type="dxa"/>
          </w:tcPr>
          <w:p w14:paraId="4A046E26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Затрат:</w:t>
            </w:r>
          </w:p>
          <w:p w14:paraId="27028DA2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b/>
                <w:i/>
              </w:rPr>
            </w:pPr>
            <w:r>
              <w:rPr>
                <w:rFonts w:ascii="Times New Roman" w:hAnsi="Times New Roman" w:eastAsia="Times New Roman" w:cs="Times New Roman"/>
                <w:i/>
              </w:rPr>
              <w:t xml:space="preserve">обсяг фін. ресурсу – </w:t>
            </w:r>
            <w:r>
              <w:rPr>
                <w:rFonts w:ascii="Times New Roman" w:hAnsi="Times New Roman" w:eastAsia="Times New Roman" w:cs="Times New Roman"/>
                <w:b/>
                <w:i/>
              </w:rPr>
              <w:t>250 000 грн.</w:t>
            </w:r>
          </w:p>
          <w:p w14:paraId="280053EC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Продукту:</w:t>
            </w:r>
          </w:p>
          <w:p w14:paraId="2FA056EF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Кількість заходів,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10 од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.; кількість молоді, яка візьме участь у заході, </w:t>
            </w:r>
            <w:r>
              <w:rPr>
                <w:rFonts w:ascii="Times New Roman" w:hAnsi="Times New Roman" w:eastAsia="Times New Roman" w:cs="Times New Roman"/>
                <w:b/>
                <w:i/>
                <w:highlight w:val="white"/>
              </w:rPr>
              <w:t>485 осіб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,</w:t>
            </w:r>
          </w:p>
          <w:p w14:paraId="3533CC44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i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у тому числі жінок (дівчат),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310 осіб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.</w:t>
            </w:r>
          </w:p>
          <w:p w14:paraId="1F302472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Ефективності:</w:t>
            </w:r>
          </w:p>
          <w:p w14:paraId="14F2F7CB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середні витрати на проведення одного заходу,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25000  грн;</w:t>
            </w:r>
          </w:p>
          <w:p w14:paraId="4818DA12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i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середні витрати на забезпечення участі одного учасника в заході, </w:t>
            </w:r>
            <w:r>
              <w:rPr>
                <w:rFonts w:ascii="Times New Roman" w:hAnsi="Times New Roman" w:eastAsia="Times New Roman" w:cs="Times New Roman"/>
                <w:b/>
                <w:i/>
                <w:highlight w:val="white"/>
              </w:rPr>
              <w:t xml:space="preserve">515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грн.</w:t>
            </w:r>
          </w:p>
          <w:p w14:paraId="7C72CEA2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Якості:</w:t>
            </w:r>
          </w:p>
          <w:p w14:paraId="5B6E24D8">
            <w:pPr>
              <w:spacing w:after="0" w:line="240" w:lineRule="auto"/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кількість молоді, охопленої роботою регіонального закладу по роботі з молоддю, від загальної кількості молоді в регіоні, 0,08 %,</w:t>
            </w:r>
          </w:p>
          <w:p w14:paraId="2B886662">
            <w:pPr>
              <w:spacing w:after="0" w:line="240" w:lineRule="auto"/>
              <w:rPr>
                <w:rFonts w:ascii="Times New Roman" w:hAnsi="Times New Roman" w:eastAsia="Times New Roman" w:cs="Times New Roman"/>
                <w:color w:val="FF0000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з них жінок (дівчат), 0,05 %;</w:t>
            </w:r>
          </w:p>
          <w:p w14:paraId="2ACC975E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</w:pPr>
            <w:bookmarkStart w:id="0" w:name="_heading=h.gjdgxs" w:colFirst="0" w:colLast="0"/>
            <w:bookmarkEnd w:id="0"/>
          </w:p>
        </w:tc>
        <w:tc>
          <w:tcPr>
            <w:tcW w:w="2040" w:type="dxa"/>
          </w:tcPr>
          <w:p w14:paraId="05D7BBDB">
            <w:pP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Департамент спорту, молоді та туризму обласної державної адміністрації, комунальний заклад Львівської обласної ради «Львівський обласний Пластовий Центр»</w:t>
            </w:r>
          </w:p>
        </w:tc>
        <w:tc>
          <w:tcPr>
            <w:tcW w:w="1365" w:type="dxa"/>
          </w:tcPr>
          <w:p w14:paraId="404E77B5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Обласний бюджет</w:t>
            </w:r>
          </w:p>
        </w:tc>
        <w:tc>
          <w:tcPr>
            <w:tcW w:w="1174" w:type="dxa"/>
          </w:tcPr>
          <w:p w14:paraId="1D53289B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+2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50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,0</w:t>
            </w:r>
          </w:p>
        </w:tc>
        <w:tc>
          <w:tcPr>
            <w:tcW w:w="1276" w:type="dxa"/>
          </w:tcPr>
          <w:p w14:paraId="1A499196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250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,0</w:t>
            </w:r>
          </w:p>
        </w:tc>
        <w:tc>
          <w:tcPr>
            <w:tcW w:w="1843" w:type="dxa"/>
          </w:tcPr>
          <w:p w14:paraId="1362E1B7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highlight w:val="white"/>
              </w:rPr>
              <w:t>Дозволить покращити кваліфікацію та навички виховників, волонтерів та учасників за різноманітними напрямками. Навчання дозволять якісно та безпечно організовувати та проводити заходи для молоді волонтерами.</w:t>
            </w:r>
          </w:p>
        </w:tc>
      </w:tr>
      <w:tr w14:paraId="04EC9B2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</w:tcPr>
          <w:p w14:paraId="05E4CBC2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85" w:type="dxa"/>
          </w:tcPr>
          <w:p w14:paraId="356974B2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115" w:type="dxa"/>
          </w:tcPr>
          <w:p w14:paraId="29AE9261">
            <w:pP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  <w:t>Захід 3.</w:t>
            </w:r>
            <w:r>
              <w:rPr>
                <w:rFonts w:ascii="Times New Roman" w:hAnsi="Times New Roman" w:eastAsia="Times New Roman" w:cs="Times New Roman"/>
                <w:color w:val="FF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«День Першої Пластової присяги» на базі комунального закладу Львівської обласної ради «Львівський обласний  Пластовий центр»</w:t>
            </w:r>
          </w:p>
        </w:tc>
        <w:tc>
          <w:tcPr>
            <w:tcW w:w="2070" w:type="dxa"/>
          </w:tcPr>
          <w:p w14:paraId="2932522E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Затрат:</w:t>
            </w:r>
          </w:p>
          <w:p w14:paraId="0A87785E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b/>
                <w:i/>
              </w:rPr>
            </w:pPr>
            <w:r>
              <w:rPr>
                <w:rFonts w:ascii="Times New Roman" w:hAnsi="Times New Roman" w:eastAsia="Times New Roman" w:cs="Times New Roman"/>
                <w:i/>
              </w:rPr>
              <w:t xml:space="preserve">обсяг фін. ресурсу </w:t>
            </w:r>
            <w:r>
              <w:rPr>
                <w:rFonts w:ascii="Times New Roman" w:hAnsi="Times New Roman" w:eastAsia="Times New Roman" w:cs="Times New Roman"/>
                <w:b/>
                <w:i/>
              </w:rPr>
              <w:t>70 000 грн.</w:t>
            </w:r>
          </w:p>
          <w:p w14:paraId="0A2176D5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Продукту:</w:t>
            </w:r>
          </w:p>
          <w:p w14:paraId="40D88433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Кількість заходів,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1 од.;</w:t>
            </w:r>
          </w:p>
          <w:p w14:paraId="4D54628E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кількість молоді, яка візьме участь у заході,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1000 осіб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,</w:t>
            </w:r>
          </w:p>
          <w:p w14:paraId="3955CD1C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i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у тому числі жінок (дівчат),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640 осіб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.</w:t>
            </w:r>
          </w:p>
          <w:p w14:paraId="2BAA77C0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b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Ефективності:</w:t>
            </w:r>
          </w:p>
          <w:p w14:paraId="45C0CCA7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b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середні витрати на проведення одного заходу,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70000  грн;</w:t>
            </w:r>
          </w:p>
          <w:p w14:paraId="1077FC96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b/>
                <w:i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середні витрати на забезпечення участі одного учасника в заході,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 xml:space="preserve"> 70 грн.</w:t>
            </w:r>
          </w:p>
          <w:p w14:paraId="6621B8C4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Якості:</w:t>
            </w:r>
          </w:p>
          <w:p w14:paraId="36BA32D6">
            <w:pPr>
              <w:spacing w:after="0" w:line="240" w:lineRule="auto"/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кількість молоді, охопленої роботою регіонального закладу по роботі з молоддю, від загальної кількості молоді в регіоні, 0,002 %,</w:t>
            </w:r>
          </w:p>
          <w:p w14:paraId="203D0A58">
            <w:pPr>
              <w:spacing w:after="0" w:line="240" w:lineRule="auto"/>
              <w:rPr>
                <w:rFonts w:ascii="Times New Roman" w:hAnsi="Times New Roman" w:eastAsia="Times New Roman" w:cs="Times New Roman"/>
                <w:color w:val="FF0000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з них жінок (дівчат), 0,0012 %;</w:t>
            </w:r>
          </w:p>
          <w:p w14:paraId="60C29A33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</w:pPr>
          </w:p>
        </w:tc>
        <w:tc>
          <w:tcPr>
            <w:tcW w:w="2040" w:type="dxa"/>
          </w:tcPr>
          <w:p w14:paraId="24A27444">
            <w:pP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Департамент спорту, молоді та туризму обласної державної адміністрації, комунальний заклад Львівської обласної ради «Львівський обласний Пластовий Центр»</w:t>
            </w:r>
          </w:p>
        </w:tc>
        <w:tc>
          <w:tcPr>
            <w:tcW w:w="1365" w:type="dxa"/>
          </w:tcPr>
          <w:p w14:paraId="07531119">
            <w:pP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Обласний бюджет</w:t>
            </w:r>
          </w:p>
        </w:tc>
        <w:tc>
          <w:tcPr>
            <w:tcW w:w="1174" w:type="dxa"/>
          </w:tcPr>
          <w:p w14:paraId="18C3AEFF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uk-UA"/>
              </w:rPr>
              <w:t>0,0</w:t>
            </w:r>
          </w:p>
        </w:tc>
        <w:tc>
          <w:tcPr>
            <w:tcW w:w="1276" w:type="dxa"/>
          </w:tcPr>
          <w:p w14:paraId="261D27FB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70,0</w:t>
            </w:r>
          </w:p>
        </w:tc>
        <w:tc>
          <w:tcPr>
            <w:tcW w:w="1843" w:type="dxa"/>
          </w:tcPr>
          <w:p w14:paraId="47939CA1">
            <w:pP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shd w:val="clear" w:color="auto" w:fill="6AA84F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 xml:space="preserve"> Проведення «Дня Першої Пластової присяги» - це  обов’язковий Пластовий церемоніал, який дозволить учасникам, які склали присягу  офіційно долучитись до організації.</w:t>
            </w:r>
          </w:p>
        </w:tc>
      </w:tr>
      <w:tr w14:paraId="4DEDEFE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</w:tcPr>
          <w:p w14:paraId="04096976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85" w:type="dxa"/>
          </w:tcPr>
          <w:p w14:paraId="781F871D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115" w:type="dxa"/>
          </w:tcPr>
          <w:p w14:paraId="6C8F6D0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b/>
                <w:sz w:val="26"/>
                <w:szCs w:val="26"/>
              </w:rPr>
              <w:t>Захід 4.</w:t>
            </w:r>
            <w:r>
              <w:rPr>
                <w:rFonts w:ascii="Times New Roman" w:hAnsi="Times New Roman" w:eastAsia="Times New Roman" w:cs="Times New Roman"/>
                <w:color w:val="FF0000"/>
                <w:sz w:val="26"/>
                <w:szCs w:val="26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  <w:t>Проведення виїзних презентацій діяльності Пласту, КЗ ЛОР «Львівський обласний  Пластовий центр», за пластовою методикою в районах Львівської області, з метою популяризації Пластового руху, створення пластових виховних частин, гуртків, об'єднань, осередків</w:t>
            </w:r>
          </w:p>
          <w:p w14:paraId="55568B5F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pPr>
          </w:p>
        </w:tc>
        <w:tc>
          <w:tcPr>
            <w:tcW w:w="2070" w:type="dxa"/>
          </w:tcPr>
          <w:p w14:paraId="742D8FA7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Затрат:</w:t>
            </w:r>
          </w:p>
          <w:p w14:paraId="12ECF933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b/>
                <w:i/>
              </w:rPr>
            </w:pPr>
            <w:r>
              <w:rPr>
                <w:rFonts w:ascii="Times New Roman" w:hAnsi="Times New Roman" w:eastAsia="Times New Roman" w:cs="Times New Roman"/>
                <w:i/>
              </w:rPr>
              <w:t xml:space="preserve">обсяг фін. ресурсу </w:t>
            </w:r>
            <w:r>
              <w:rPr>
                <w:rFonts w:ascii="Times New Roman" w:hAnsi="Times New Roman" w:eastAsia="Times New Roman" w:cs="Times New Roman"/>
                <w:b/>
                <w:i/>
              </w:rPr>
              <w:t>21 000 грн.</w:t>
            </w:r>
          </w:p>
          <w:p w14:paraId="2820D300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Продукту:</w:t>
            </w:r>
          </w:p>
          <w:p w14:paraId="0E4B66B1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Кількість заходів,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6 од.;</w:t>
            </w:r>
          </w:p>
          <w:p w14:paraId="7DAF56E9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кількість молоді, яка візьме участь у заході, </w:t>
            </w:r>
            <w:r>
              <w:rPr>
                <w:rFonts w:ascii="Times New Roman" w:hAnsi="Times New Roman" w:eastAsia="Times New Roman" w:cs="Times New Roman"/>
                <w:b/>
                <w:i/>
                <w:highlight w:val="white"/>
              </w:rPr>
              <w:t xml:space="preserve">60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осіб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,</w:t>
            </w:r>
          </w:p>
          <w:p w14:paraId="4AA614D7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i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у тому числі жінок (дівчат), </w:t>
            </w:r>
            <w:r>
              <w:rPr>
                <w:rFonts w:ascii="Times New Roman" w:hAnsi="Times New Roman" w:eastAsia="Times New Roman" w:cs="Times New Roman"/>
                <w:b/>
                <w:i/>
                <w:highlight w:val="white"/>
              </w:rPr>
              <w:t>38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 xml:space="preserve"> осіб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.</w:t>
            </w:r>
          </w:p>
          <w:p w14:paraId="607A6108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 xml:space="preserve">Ефективності: 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середні витрати на проведення одного заходу,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3500,00  грн;</w:t>
            </w:r>
          </w:p>
          <w:p w14:paraId="51E96372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b/>
                <w:i/>
              </w:rPr>
            </w:pPr>
            <w:bookmarkStart w:id="1" w:name="_heading=h.j4kvz11khifv" w:colFirst="0" w:colLast="0"/>
            <w:bookmarkEnd w:id="1"/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середні витрати на забезпечення участі одного учасника в заході,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b/>
                <w:i/>
                <w:highlight w:val="white"/>
              </w:rPr>
              <w:t xml:space="preserve">350 </w:t>
            </w:r>
            <w:r>
              <w:rPr>
                <w:rFonts w:ascii="Times New Roman" w:hAnsi="Times New Roman" w:eastAsia="Times New Roman" w:cs="Times New Roman"/>
                <w:b/>
                <w:i/>
                <w:color w:val="333333"/>
                <w:highlight w:val="white"/>
              </w:rPr>
              <w:t>грн.</w:t>
            </w:r>
          </w:p>
          <w:p w14:paraId="0198E9B4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</w:rPr>
            </w:pPr>
            <w:r>
              <w:rPr>
                <w:rFonts w:ascii="Times New Roman" w:hAnsi="Times New Roman" w:eastAsia="Times New Roman" w:cs="Times New Roman"/>
                <w:b/>
              </w:rPr>
              <w:t>Якості:</w:t>
            </w:r>
          </w:p>
          <w:p w14:paraId="624A5756">
            <w:pPr>
              <w:spacing w:after="0" w:line="240" w:lineRule="auto"/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кількість молоді, охопленої роботою регіонального закладу по роботі з молоддю, від загальної кількості молоді в регіоні, 0,0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  <w:lang w:val="uk-UA"/>
              </w:rPr>
              <w:t>4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 %,</w:t>
            </w:r>
          </w:p>
          <w:p w14:paraId="590559E1">
            <w:pPr>
              <w:spacing w:after="0" w:line="240" w:lineRule="auto"/>
              <w:rPr>
                <w:rFonts w:ascii="Times New Roman" w:hAnsi="Times New Roman" w:eastAsia="Times New Roman" w:cs="Times New Roman"/>
                <w:color w:val="FF0000"/>
              </w:rPr>
            </w:pP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>з них жінок (дівчат), 0,0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  <w:lang w:val="uk-UA"/>
              </w:rPr>
              <w:t>25</w:t>
            </w:r>
            <w:r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  <w:t xml:space="preserve"> %;</w:t>
            </w:r>
          </w:p>
          <w:p w14:paraId="3D55F7A9">
            <w:pP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i/>
                <w:color w:val="333333"/>
                <w:highlight w:val="white"/>
              </w:rPr>
            </w:pPr>
          </w:p>
        </w:tc>
        <w:tc>
          <w:tcPr>
            <w:tcW w:w="2040" w:type="dxa"/>
          </w:tcPr>
          <w:p w14:paraId="260AEFF4">
            <w:pP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Департамент спорту, молоді та туризму обласної державної адміністрації, комунальний заклад Львівської обласної ради «Львівський обласний Пластовий Центр»</w:t>
            </w:r>
          </w:p>
        </w:tc>
        <w:tc>
          <w:tcPr>
            <w:tcW w:w="1365" w:type="dxa"/>
          </w:tcPr>
          <w:p w14:paraId="0CA42A27">
            <w:pP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Обласний бюджет</w:t>
            </w:r>
          </w:p>
        </w:tc>
        <w:tc>
          <w:tcPr>
            <w:tcW w:w="1174" w:type="dxa"/>
          </w:tcPr>
          <w:p w14:paraId="10F1CABA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+21,0</w:t>
            </w:r>
          </w:p>
        </w:tc>
        <w:tc>
          <w:tcPr>
            <w:tcW w:w="1276" w:type="dxa"/>
          </w:tcPr>
          <w:p w14:paraId="26FAE9A9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21,0</w:t>
            </w:r>
          </w:p>
        </w:tc>
        <w:tc>
          <w:tcPr>
            <w:tcW w:w="1843" w:type="dxa"/>
          </w:tcPr>
          <w:p w14:paraId="02E2B2B1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 xml:space="preserve">Забезпечить якісне та кількісне охоплення молоді області пластовою методою та дозволить новим волонтерам доєднатись до лав Пласту 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  <w:lang w:val="uk-UA"/>
              </w:rPr>
              <w:t>т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  <w:t>а створити нові гуртки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  <w:lang w:val="uk-UA"/>
              </w:rPr>
              <w:t xml:space="preserve"> у громадах області.</w:t>
            </w:r>
          </w:p>
        </w:tc>
      </w:tr>
      <w:tr w14:paraId="3CCECF6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</w:tcPr>
          <w:p w14:paraId="3C19C604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510" w:type="dxa"/>
            <w:gridSpan w:val="4"/>
          </w:tcPr>
          <w:p w14:paraId="43CE6869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rPr>
                <w:rFonts w:ascii="Times New Roman" w:hAnsi="Times New Roman" w:eastAsia="Times New Roman" w:cs="Times New Roman"/>
                <w:b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Усього</w:t>
            </w:r>
          </w:p>
        </w:tc>
        <w:tc>
          <w:tcPr>
            <w:tcW w:w="1365" w:type="dxa"/>
          </w:tcPr>
          <w:p w14:paraId="60885FA1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74" w:type="dxa"/>
          </w:tcPr>
          <w:p w14:paraId="6AC99B5F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1 500,0</w:t>
            </w:r>
          </w:p>
        </w:tc>
        <w:tc>
          <w:tcPr>
            <w:tcW w:w="1276" w:type="dxa"/>
          </w:tcPr>
          <w:p w14:paraId="535A7D54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3 665,1</w:t>
            </w:r>
          </w:p>
        </w:tc>
        <w:tc>
          <w:tcPr>
            <w:tcW w:w="1843" w:type="dxa"/>
          </w:tcPr>
          <w:p w14:paraId="5186D60F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after="0" w:line="240" w:lineRule="auto"/>
              <w:ind w:hanging="2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14:paraId="64F83122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pacing w:after="0" w:line="240" w:lineRule="auto"/>
        <w:ind w:hanging="3"/>
        <w:jc w:val="center"/>
        <w:rPr>
          <w:rFonts w:ascii="Times New Roman" w:hAnsi="Times New Roman" w:eastAsia="Times New Roman" w:cs="Times New Roman"/>
          <w:b/>
          <w:color w:val="000000"/>
          <w:sz w:val="24"/>
          <w:szCs w:val="24"/>
        </w:rPr>
      </w:pPr>
    </w:p>
    <w:p w14:paraId="2081C975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pacing w:after="0" w:line="240" w:lineRule="auto"/>
        <w:ind w:hanging="3"/>
        <w:jc w:val="center"/>
        <w:rPr>
          <w:rFonts w:ascii="Times New Roman" w:hAnsi="Times New Roman" w:eastAsia="Times New Roman" w:cs="Times New Roman"/>
          <w:color w:val="000000"/>
          <w:sz w:val="24"/>
          <w:szCs w:val="24"/>
        </w:rPr>
      </w:pPr>
    </w:p>
    <w:sectPr>
      <w:headerReference r:id="rId5" w:type="default"/>
      <w:pgSz w:w="16838" w:h="11906" w:orient="landscape"/>
      <w:pgMar w:top="709" w:right="850" w:bottom="850" w:left="850" w:header="708" w:footer="708" w:gutter="0"/>
      <w:pgNumType w:start="1"/>
      <w:cols w:space="720" w:num="1"/>
      <w:titlePg/>
      <w:docGrid w:linePitch="299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  <w:embedRegular r:id="rId1" w:fontKey="{C1E2DF41-DEC0-47A7-8EA4-EA4D7AA238BA}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  <w:embedRegular r:id="rId2" w:fontKey="{5E008970-446A-4070-B0E2-B7D2E547DEFD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73A5C322-FB13-4F51-AFAD-1BFFD307FA41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4" w:fontKey="{B8038097-6531-414C-83C9-35C8B1F525C9}"/>
  </w:font>
  <w:font w:name="等线">
    <w:altName w:val="Microsoft YaHei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Calibri">
    <w:panose1 w:val="020F0502020204030204"/>
    <w:charset w:val="CC"/>
    <w:family w:val="swiss"/>
    <w:pitch w:val="default"/>
    <w:sig w:usb0="E4002EFF" w:usb1="C200247B" w:usb2="00000009" w:usb3="00000000" w:csb0="200001FF" w:csb1="00000000"/>
    <w:embedRegular r:id="rId5" w:fontKey="{998D4977-1366-4EEF-9ED7-FA497B773583}"/>
  </w:font>
  <w:font w:name="Georgia">
    <w:panose1 w:val="02040502050405020303"/>
    <w:charset w:val="CC"/>
    <w:family w:val="roman"/>
    <w:pitch w:val="default"/>
    <w:sig w:usb0="00000287" w:usb1="00000000" w:usb2="00000000" w:usb3="00000000" w:csb0="2000009F" w:csb1="00000000"/>
    <w:embedRegular r:id="rId6" w:fontKey="{6CA5CAC7-0246-40F9-A5C8-E70129AD3DFA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rPr>
        <w:rFonts w:ascii="Times New Roman" w:hAnsi="Times New Roman" w:cs="Times New Roman"/>
        <w:color w:val="808080" w:themeColor="text1" w:themeTint="80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w:alias w:val="Заголовок"/>
      <w:id w:val="1116400235"/>
      <w:placeholder>
        <w:docPart w:val="E026442038FF4A90823A46277496F5F4"/>
      </w:placeholder>
      <w:dataBinding w:prefixMappings="xmlns:ns0='http://purl.org/dc/elements/1.1/' xmlns:ns1='http://schemas.openxmlformats.org/package/2006/metadata/core-properties' " w:xpath="/ns1:coreProperties[1]/ns0:title[1]" w:storeItemID="{6C3C8BC8-F283-45AE-878A-BAB7291924A1}"/>
      <w:text/>
    </w:sdtPr>
    <w:sdtEndPr>
      <w:rPr>
        <w:rFonts w:ascii="Times New Roman" w:hAnsi="Times New Roman" w:cs="Times New Roman"/>
        <w:color w:val="808080" w:themeColor="text1" w:themeTint="80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</w:sdtEndPr>
    <w:sdtContent>
      <w:p w14:paraId="23095739">
        <w:pPr>
          <w:pStyle w:val="11"/>
          <w:jc w:val="right"/>
          <w:rPr>
            <w:rFonts w:ascii="Times New Roman" w:hAnsi="Times New Roman" w:cs="Times New Roman"/>
            <w:color w:val="808080" w:themeColor="text1" w:themeTint="80"/>
            <w14:textFill>
              <w14:solidFill>
                <w14:schemeClr w14:val="tx1">
                  <w14:lumMod w14:val="50000"/>
                  <w14:lumOff w14:val="50000"/>
                </w14:schemeClr>
              </w14:solidFill>
            </w14:textFill>
          </w:rPr>
        </w:pPr>
        <w:r>
          <w:rPr>
            <w:rFonts w:ascii="Times New Roman" w:hAnsi="Times New Roman" w:cs="Times New Roman"/>
            <w:color w:val="808080" w:themeColor="text1" w:themeTint="80"/>
            <w:lang w:val="uk-UA"/>
            <w14:textFill>
              <w14:solidFill>
                <w14:schemeClr w14:val="tx1">
                  <w14:lumMod w14:val="50000"/>
                  <w14:lumOff w14:val="50000"/>
                </w14:schemeClr>
              </w14:solidFill>
            </w14:textFill>
          </w:rPr>
          <w:t>Продовження додатка</w:t>
        </w:r>
      </w:p>
    </w:sdtContent>
  </w:sdt>
  <w:p w14:paraId="6418E821">
    <w:pPr>
      <w:pStyle w:val="11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TrueTypeFonts/>
  <w:documentProtection w:enforcement="0"/>
  <w:defaultTabStop w:val="720"/>
  <w:hyphenationZone w:val="425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369B"/>
    <w:rsid w:val="000B050C"/>
    <w:rsid w:val="000F6237"/>
    <w:rsid w:val="0019369B"/>
    <w:rsid w:val="00194417"/>
    <w:rsid w:val="0027294D"/>
    <w:rsid w:val="002C35E8"/>
    <w:rsid w:val="005702EA"/>
    <w:rsid w:val="006061B6"/>
    <w:rsid w:val="008F109B"/>
    <w:rsid w:val="009B57DC"/>
    <w:rsid w:val="00A95340"/>
    <w:rsid w:val="00AD374B"/>
    <w:rsid w:val="00CA3442"/>
    <w:rsid w:val="00DC747C"/>
    <w:rsid w:val="00E334DC"/>
    <w:rsid w:val="00E400F9"/>
    <w:rsid w:val="00E907BF"/>
    <w:rsid w:val="792F2A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Calibri" w:cs="Calibri"/>
      </w:rPr>
    </w:rPrDefault>
    <w:pPrDefault/>
  </w:docDefaults>
  <w:latentStyles w:count="260" w:defQFormat="0" w:defUnhideWhenUsed="1" w:defSemiHidden="1" w:defUIPriority="99" w:defLockedState="0">
    <w:lsdException w:unhideWhenUsed="0" w:uiPriority="0" w:semiHidden="0" w:name="Normal"/>
    <w:lsdException w:unhideWhenUsed="0" w:uiPriority="0" w:semiHidden="0" w:name="heading 1"/>
    <w:lsdException w:unhideWhenUsed="0" w:uiPriority="0" w:semiHidden="0" w:name="heading 2"/>
    <w:lsdException w:unhideWhenUsed="0" w:uiPriority="0" w:semiHidden="0" w:name="heading 3"/>
    <w:lsdException w:unhideWhenUsed="0" w:uiPriority="0" w:semiHidden="0" w:name="heading 4"/>
    <w:lsdException w:qFormat="1" w:unhideWhenUsed="0" w:uiPriority="0" w:semiHidden="0" w:name="heading 5"/>
    <w:lsdException w:unhideWhenUsed="0" w:uiPriority="0" w:semiHidden="0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unhideWhenUsed="0" w:uiPriority="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unhideWhenUsed="0" w:uiPriority="0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uiPriority w:val="0"/>
    <w:pPr>
      <w:spacing w:after="160" w:line="259" w:lineRule="auto"/>
    </w:pPr>
    <w:rPr>
      <w:rFonts w:ascii="Calibri" w:hAnsi="Calibri" w:eastAsia="Calibri" w:cs="Calibri"/>
      <w:sz w:val="22"/>
      <w:szCs w:val="22"/>
      <w:lang w:val="uk" w:eastAsia="uk-UA" w:bidi="ar-SA"/>
    </w:rPr>
  </w:style>
  <w:style w:type="paragraph" w:styleId="2">
    <w:name w:val="heading 1"/>
    <w:basedOn w:val="1"/>
    <w:next w:val="1"/>
    <w:uiPriority w:val="0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3">
    <w:name w:val="heading 2"/>
    <w:basedOn w:val="1"/>
    <w:next w:val="1"/>
    <w:uiPriority w:val="0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4">
    <w:name w:val="heading 3"/>
    <w:basedOn w:val="1"/>
    <w:next w:val="1"/>
    <w:uiPriority w:val="0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5">
    <w:name w:val="heading 4"/>
    <w:basedOn w:val="1"/>
    <w:next w:val="1"/>
    <w:uiPriority w:val="0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6">
    <w:name w:val="heading 5"/>
    <w:basedOn w:val="1"/>
    <w:next w:val="1"/>
    <w:qFormat/>
    <w:uiPriority w:val="0"/>
    <w:pPr>
      <w:keepNext/>
      <w:keepLines/>
      <w:spacing w:before="220" w:after="40"/>
      <w:outlineLvl w:val="4"/>
    </w:pPr>
    <w:rPr>
      <w:b/>
    </w:rPr>
  </w:style>
  <w:style w:type="paragraph" w:styleId="7">
    <w:name w:val="heading 6"/>
    <w:basedOn w:val="1"/>
    <w:next w:val="1"/>
    <w:uiPriority w:val="0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8">
    <w:name w:val="Default Paragraph Font"/>
    <w:semiHidden/>
    <w:unhideWhenUsed/>
    <w:uiPriority w:val="1"/>
  </w:style>
  <w:style w:type="table" w:default="1" w:styleId="9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0">
    <w:name w:val="footer"/>
    <w:link w:val="18"/>
    <w:unhideWhenUsed/>
    <w:uiPriority w:val="99"/>
    <w:pPr>
      <w:tabs>
        <w:tab w:val="center" w:pos="4819"/>
        <w:tab w:val="right" w:pos="9639"/>
      </w:tabs>
      <w:spacing w:after="0" w:line="240" w:lineRule="auto"/>
    </w:pPr>
    <w:rPr>
      <w:rFonts w:ascii="Calibri" w:hAnsi="Calibri" w:eastAsia="Calibri" w:cs="Calibri"/>
      <w:sz w:val="22"/>
      <w:szCs w:val="22"/>
      <w:lang w:val="uk" w:eastAsia="uk-UA" w:bidi="ar-SA"/>
    </w:rPr>
  </w:style>
  <w:style w:type="paragraph" w:styleId="11">
    <w:name w:val="header"/>
    <w:link w:val="17"/>
    <w:unhideWhenUsed/>
    <w:uiPriority w:val="99"/>
    <w:pPr>
      <w:tabs>
        <w:tab w:val="center" w:pos="4819"/>
        <w:tab w:val="right" w:pos="9639"/>
      </w:tabs>
      <w:spacing w:after="0" w:line="240" w:lineRule="auto"/>
    </w:pPr>
    <w:rPr>
      <w:rFonts w:ascii="Calibri" w:hAnsi="Calibri" w:eastAsia="Calibri" w:cs="Calibri"/>
      <w:sz w:val="22"/>
      <w:szCs w:val="22"/>
      <w:lang w:val="uk" w:eastAsia="uk-UA" w:bidi="ar-SA"/>
    </w:rPr>
  </w:style>
  <w:style w:type="paragraph" w:styleId="12">
    <w:name w:val="Subtitle"/>
    <w:basedOn w:val="1"/>
    <w:next w:val="1"/>
    <w:uiPriority w:val="0"/>
    <w:pPr>
      <w:keepNext/>
      <w:keepLines/>
      <w:spacing w:before="360" w:after="80"/>
    </w:pPr>
    <w:rPr>
      <w:rFonts w:ascii="Georgia" w:hAnsi="Georgia" w:eastAsia="Georgia" w:cs="Georgia"/>
      <w:i/>
      <w:color w:val="666666"/>
      <w:sz w:val="48"/>
      <w:szCs w:val="48"/>
    </w:rPr>
  </w:style>
  <w:style w:type="table" w:styleId="13">
    <w:name w:val="Table Grid"/>
    <w:basedOn w:val="9"/>
    <w:uiPriority w:val="3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14">
    <w:name w:val="Title"/>
    <w:basedOn w:val="1"/>
    <w:next w:val="1"/>
    <w:uiPriority w:val="0"/>
    <w:pPr>
      <w:keepNext/>
      <w:keepLines/>
      <w:spacing w:before="480" w:after="120"/>
    </w:pPr>
    <w:rPr>
      <w:b/>
      <w:sz w:val="72"/>
      <w:szCs w:val="72"/>
    </w:rPr>
  </w:style>
  <w:style w:type="table" w:customStyle="1" w:styleId="15">
    <w:name w:val="TableNormal"/>
    <w:uiPriority w:val="0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6">
    <w:name w:val="Table Normal1"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17">
    <w:name w:val="Верхній колонтитул Знак"/>
    <w:basedOn w:val="8"/>
    <w:link w:val="11"/>
    <w:uiPriority w:val="99"/>
  </w:style>
  <w:style w:type="character" w:customStyle="1" w:styleId="18">
    <w:name w:val="Нижній колонтитул Знак"/>
    <w:basedOn w:val="8"/>
    <w:link w:val="10"/>
    <w:uiPriority w:val="99"/>
  </w:style>
  <w:style w:type="table" w:customStyle="1" w:styleId="19">
    <w:name w:val="_Style 17"/>
    <w:basedOn w:val="16"/>
    <w:uiPriority w:val="0"/>
    <w:pPr>
      <w:spacing w:after="0" w:line="240" w:lineRule="auto"/>
    </w:pPr>
    <w:tblPr>
      <w:tblCellMar>
        <w:left w:w="108" w:type="dxa"/>
        <w:right w:w="108" w:type="dxa"/>
      </w:tblCellMar>
    </w:tblPr>
  </w:style>
  <w:style w:type="table" w:customStyle="1" w:styleId="20">
    <w:name w:val="_Style 19"/>
    <w:basedOn w:val="16"/>
    <w:uiPriority w:val="0"/>
    <w:pPr>
      <w:spacing w:after="0" w:line="240" w:lineRule="auto"/>
    </w:pPr>
    <w:tblPr>
      <w:tblCellMar>
        <w:left w:w="108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glossaryDocument" Target="glossary/document.xml"/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glossary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docParts>
    <w:docPart>
      <w:docPartPr>
        <w:name w:val="E026442038FF4A90823A46277496F5F4"/>
        <w:style w:val=""/>
        <w:category>
          <w:name w:val="Загальні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0C6CFFCB-C449-4A63-8E10-4E2CC5EB313C}"/>
      </w:docPartPr>
      <w:docPartBody>
        <w:p w14:paraId="0CFDDEDF">
          <w:pPr>
            <w:pStyle w:val="4"/>
          </w:pPr>
          <w:r>
            <w:rPr>
              <w:color w:val="808080" w:themeColor="text1" w:themeTint="80"/>
              <w14:textFill>
                <w14:solidFill>
                  <w14:schemeClr w14:val="tx1">
                    <w14:lumMod w14:val="50000"/>
                    <w14:lumOff w14:val="50000"/>
                  </w14:schemeClr>
                </w14:solidFill>
              </w14:textFill>
            </w:rPr>
            <w:t>[Заголовок документа]</w:t>
          </w:r>
        </w:p>
      </w:docPartBody>
    </w:docPart>
  </w:docParts>
</w:glossaryDocument>
</file>

<file path=word/glossary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altName w:val="Microsoft YaHei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Calibri">
    <w:panose1 w:val="020F0502020204030204"/>
    <w:charset w:val="CC"/>
    <w:family w:val="swiss"/>
    <w:pitch w:val="default"/>
    <w:sig w:usb0="E4002EFF" w:usb1="C200247B" w:usb2="00000009" w:usb3="00000000" w:csb0="200001FF" w:csb1="00000000"/>
  </w:font>
  <w:font w:name="等线">
    <w:altName w:val="Microsoft YaHei"/>
    <w:panose1 w:val="00000000000000000000"/>
    <w:charset w:val="86"/>
    <w:family w:val="auto"/>
    <w:pitch w:val="default"/>
    <w:sig w:usb0="00000000" w:usb1="00000000" w:usb2="00000000" w:usb3="00000000" w:csb0="00000000" w:csb1="00000000"/>
  </w:font>
</w:fonts>
</file>

<file path=word/glossary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10E7"/>
    <w:rsid w:val="004A64EA"/>
    <w:rsid w:val="009163D4"/>
    <w:rsid w:val="00C510E7"/>
    <w:rsid w:val="00CA0C31"/>
    <w:rsid w:val="00D25E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glossary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uiPriority="1" w:name="Default Paragraph Font"/>
    <w:lsdException w:uiPriority="99" w:name="Normal Table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Theme="minorHAnsi" w:hAnsiTheme="minorHAnsi" w:eastAsiaTheme="minorEastAsia" w:cstheme="minorBidi"/>
      <w:sz w:val="22"/>
      <w:szCs w:val="22"/>
      <w:lang w:val="uk-UA" w:eastAsia="uk-UA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4">
    <w:name w:val="E026442038FF4A90823A46277496F5F4"/>
    <w:qFormat/>
    <w:uiPriority w:val="0"/>
    <w:pPr>
      <w:spacing w:after="160" w:line="259" w:lineRule="auto"/>
    </w:pPr>
    <w:rPr>
      <w:rFonts w:asciiTheme="minorHAnsi" w:hAnsiTheme="minorHAnsi" w:eastAsiaTheme="minorEastAsia" w:cstheme="minorBidi"/>
      <w:sz w:val="22"/>
      <w:szCs w:val="22"/>
      <w:lang w:val="uk-UA" w:eastAsia="uk-UA" w:bidi="ar-SA"/>
    </w:rPr>
  </w:style>
</w:style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Ab2pJc5CQmPUoFiqKLTpFi32JIA==">CgMxLjAyCGguZ2pkZ3hzMghoLmdqZGd4czIOaC5qNGt2ejExa2hpZnYyDmguajRrdnoxMWtoaWZ2OAByITF2ckZJMXRVS1BDaURaZ0RpbUI2Y1BBWldJN2dqZjdSRw==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6161</Words>
  <Characters>3512</Characters>
  <Lines>29</Lines>
  <Paragraphs>19</Paragraphs>
  <TotalTime>39</TotalTime>
  <ScaleCrop>false</ScaleCrop>
  <LinksUpToDate>false</LinksUpToDate>
  <CharactersWithSpaces>9654</CharactersWithSpaces>
  <Application>WPS Office_12.2.0.22549_F1E327BC-269C-435d-A152-05C5408002CA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2025-10-29T09:04:00Z</dcterms:created>
  <dc:creator>Sport</dc:creator>
  <cp:lastModifiedBy>Sport</cp:lastModifiedBy>
  <cp:lastPrinted>2025-10-29T08:12:00Z</cp:lastPrinted>
  <dcterms:modified xsi:type="dcterms:W3CDTF">2025-10-30T09:57:59Z</dcterms:modified>
  <dc:title>Продовження додатка</dc:title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1033-12.2.0.22549</vt:lpwstr>
  </property>
  <property fmtid="{D5CDD505-2E9C-101B-9397-08002B2CF9AE}" pid="3" name="ICV">
    <vt:lpwstr>19BF4938CCC54C859913907709D469DA_12</vt:lpwstr>
  </property>
</Properties>
</file>